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CB" w:rsidRDefault="004E4B2C">
      <w:pPr>
        <w:pStyle w:val="Standard"/>
        <w:spacing w:line="500" w:lineRule="exact"/>
        <w:jc w:val="center"/>
        <w:rPr>
          <w:color w:val="000000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color w:val="000000"/>
          <w:sz w:val="40"/>
          <w:szCs w:val="40"/>
          <w:lang w:eastAsia="zh-HK"/>
        </w:rPr>
        <w:t>教育部補助大專校院延攬國際頂尖人才作業要點</w:t>
      </w:r>
      <w:r>
        <w:rPr>
          <w:rFonts w:ascii="Times New Roman" w:eastAsia="標楷體" w:hAnsi="Times New Roman" w:cs="Times New Roman"/>
          <w:color w:val="000000"/>
          <w:sz w:val="40"/>
          <w:szCs w:val="40"/>
        </w:rPr>
        <w:t>修正規定</w:t>
      </w:r>
    </w:p>
    <w:p w:rsidR="00DF59CB" w:rsidRDefault="00DF59CB">
      <w:pPr>
        <w:pStyle w:val="Standard"/>
        <w:spacing w:line="320" w:lineRule="exact"/>
        <w:jc w:val="right"/>
        <w:rPr>
          <w:rFonts w:ascii="Times New Roman" w:eastAsia="標楷體" w:hAnsi="Times New Roman" w:cs="Times New Roman"/>
          <w:color w:val="000000"/>
          <w:sz w:val="20"/>
          <w:szCs w:val="40"/>
          <w:lang w:eastAsia="zh-HK"/>
        </w:rPr>
      </w:pPr>
    </w:p>
    <w:p w:rsidR="00DF59CB" w:rsidRDefault="004E4B2C">
      <w:pPr>
        <w:pStyle w:val="a5"/>
        <w:numPr>
          <w:ilvl w:val="0"/>
          <w:numId w:val="20"/>
        </w:numPr>
        <w:spacing w:line="500" w:lineRule="exact"/>
        <w:ind w:left="567" w:hanging="567"/>
        <w:rPr>
          <w:rFonts w:ascii="Times New Roman" w:eastAsia="標楷體" w:hAnsi="Times New Roman"/>
          <w:color w:val="000000"/>
          <w:szCs w:val="28"/>
          <w:lang w:eastAsia="zh-HK"/>
        </w:rPr>
      </w:pPr>
      <w:r>
        <w:rPr>
          <w:rFonts w:ascii="Times New Roman" w:eastAsia="標楷體" w:hAnsi="Times New Roman"/>
          <w:color w:val="000000"/>
          <w:szCs w:val="28"/>
          <w:lang w:eastAsia="zh-HK"/>
        </w:rPr>
        <w:t>為協助各大專校院（以下簡稱學校）延攬國際頂尖人才，規劃藉由提供符合國際競爭之薪資待遇，以吸引國際人才來臺任教，讓國際人才之學術能量在臺灣學術環境扎根，並提升我國高等教育之國際影響力，特訂定本要點。</w:t>
      </w:r>
    </w:p>
    <w:p w:rsidR="00DF59CB" w:rsidRDefault="004E4B2C">
      <w:pPr>
        <w:pStyle w:val="a5"/>
        <w:numPr>
          <w:ilvl w:val="0"/>
          <w:numId w:val="6"/>
        </w:numPr>
        <w:spacing w:line="500" w:lineRule="exact"/>
        <w:ind w:left="567" w:hanging="567"/>
        <w:rPr>
          <w:rFonts w:ascii="Times New Roman" w:eastAsia="標楷體" w:hAnsi="Times New Roman"/>
          <w:color w:val="000000"/>
          <w:szCs w:val="28"/>
          <w:lang w:eastAsia="zh-HK"/>
        </w:rPr>
      </w:pPr>
      <w:r>
        <w:rPr>
          <w:rFonts w:ascii="Times New Roman" w:eastAsia="標楷體" w:hAnsi="Times New Roman"/>
          <w:color w:val="000000"/>
          <w:szCs w:val="28"/>
          <w:lang w:eastAsia="zh-HK"/>
        </w:rPr>
        <w:t>申請資格：</w:t>
      </w:r>
    </w:p>
    <w:p w:rsidR="00DF59CB" w:rsidRDefault="004E4B2C">
      <w:pPr>
        <w:pStyle w:val="a5"/>
        <w:numPr>
          <w:ilvl w:val="0"/>
          <w:numId w:val="21"/>
        </w:numPr>
        <w:spacing w:line="500" w:lineRule="exact"/>
        <w:ind w:left="1276" w:hanging="850"/>
        <w:rPr>
          <w:color w:val="000000"/>
        </w:rPr>
      </w:pPr>
      <w:r>
        <w:rPr>
          <w:rFonts w:ascii="Times New Roman" w:eastAsia="標楷體" w:hAnsi="Times New Roman"/>
          <w:color w:val="000000"/>
          <w:szCs w:val="28"/>
        </w:rPr>
        <w:t>預核名額：獲得高等教育深耕計畫</w:t>
      </w:r>
      <w:r>
        <w:rPr>
          <w:rFonts w:ascii="Times New Roman" w:eastAsia="標楷體" w:hAnsi="Times New Roman"/>
          <w:color w:val="000000"/>
          <w:szCs w:val="28"/>
          <w:lang w:eastAsia="zh-HK"/>
        </w:rPr>
        <w:t>第二部分研究中心補助款</w:t>
      </w:r>
      <w:r>
        <w:rPr>
          <w:rFonts w:ascii="Times New Roman" w:eastAsia="標楷體" w:hAnsi="Times New Roman"/>
          <w:color w:val="000000"/>
          <w:szCs w:val="28"/>
        </w:rPr>
        <w:t>達</w:t>
      </w:r>
      <w:r>
        <w:rPr>
          <w:rFonts w:ascii="Times New Roman" w:eastAsia="標楷體" w:hAnsi="Times New Roman"/>
          <w:color w:val="000000"/>
          <w:szCs w:val="28"/>
          <w:lang w:eastAsia="zh-HK"/>
        </w:rPr>
        <w:t>新臺幣（以下同）五千萬元以上之學校。</w:t>
      </w:r>
    </w:p>
    <w:p w:rsidR="00DF59CB" w:rsidRDefault="004E4B2C">
      <w:pPr>
        <w:pStyle w:val="a5"/>
        <w:numPr>
          <w:ilvl w:val="0"/>
          <w:numId w:val="7"/>
        </w:numPr>
        <w:spacing w:line="500" w:lineRule="exact"/>
        <w:ind w:left="1276" w:hanging="850"/>
        <w:rPr>
          <w:color w:val="000000"/>
        </w:rPr>
      </w:pPr>
      <w:r>
        <w:rPr>
          <w:rFonts w:ascii="Times New Roman" w:eastAsia="標楷體" w:hAnsi="Times New Roman"/>
          <w:color w:val="000000"/>
          <w:szCs w:val="28"/>
        </w:rPr>
        <w:t>申請名額：</w:t>
      </w:r>
      <w:r>
        <w:rPr>
          <w:rFonts w:ascii="Times New Roman" w:eastAsia="標楷體" w:hAnsi="Times New Roman"/>
          <w:color w:val="000000"/>
          <w:szCs w:val="28"/>
          <w:lang w:eastAsia="zh-HK"/>
        </w:rPr>
        <w:t>獲得高等教育深耕計畫第一部分（落實教學創新、發展學校特色及提升高教公共性）</w:t>
      </w:r>
      <w:r>
        <w:rPr>
          <w:rFonts w:ascii="Times New Roman" w:eastAsia="標楷體" w:hAnsi="Times New Roman"/>
          <w:color w:val="000000"/>
          <w:szCs w:val="28"/>
        </w:rPr>
        <w:t>補助款達五千萬元以上之學校。</w:t>
      </w:r>
    </w:p>
    <w:p w:rsidR="00DF59CB" w:rsidRDefault="004E4B2C">
      <w:pPr>
        <w:pStyle w:val="a5"/>
        <w:numPr>
          <w:ilvl w:val="0"/>
          <w:numId w:val="22"/>
        </w:numPr>
        <w:spacing w:line="500" w:lineRule="exact"/>
        <w:ind w:left="567" w:hanging="567"/>
        <w:rPr>
          <w:rFonts w:ascii="Times New Roman" w:eastAsia="標楷體" w:hAnsi="Times New Roman"/>
          <w:color w:val="000000"/>
          <w:szCs w:val="28"/>
          <w:lang w:eastAsia="zh-HK"/>
        </w:rPr>
      </w:pPr>
      <w:r>
        <w:rPr>
          <w:rFonts w:ascii="Times New Roman" w:eastAsia="標楷體" w:hAnsi="Times New Roman"/>
          <w:color w:val="000000"/>
          <w:szCs w:val="28"/>
          <w:lang w:eastAsia="zh-HK"/>
        </w:rPr>
        <w:t>學校延攬之國際頂尖人才，分為玉山學者及玉山青年學者；其資格如下：</w:t>
      </w:r>
    </w:p>
    <w:p w:rsidR="00DF59CB" w:rsidRDefault="004E4B2C">
      <w:pPr>
        <w:pStyle w:val="a5"/>
        <w:numPr>
          <w:ilvl w:val="0"/>
          <w:numId w:val="23"/>
        </w:numPr>
        <w:spacing w:line="500" w:lineRule="exact"/>
        <w:ind w:left="1276" w:hanging="850"/>
        <w:rPr>
          <w:color w:val="000000"/>
        </w:rPr>
      </w:pPr>
      <w:r>
        <w:rPr>
          <w:rFonts w:ascii="Times New Roman" w:eastAsia="標楷體" w:hAnsi="Times New Roman"/>
          <w:color w:val="000000"/>
          <w:szCs w:val="28"/>
        </w:rPr>
        <w:t>玉山學者指符合下列條件之一者：</w:t>
      </w:r>
    </w:p>
    <w:p w:rsidR="00DF59CB" w:rsidRDefault="004E4B2C">
      <w:pPr>
        <w:pStyle w:val="a5"/>
        <w:numPr>
          <w:ilvl w:val="0"/>
          <w:numId w:val="24"/>
        </w:numPr>
        <w:snapToGrid w:val="0"/>
        <w:spacing w:line="500" w:lineRule="exact"/>
        <w:ind w:left="1135" w:hanging="284"/>
        <w:jc w:val="both"/>
        <w:rPr>
          <w:color w:val="000000"/>
        </w:rPr>
      </w:pPr>
      <w:r>
        <w:rPr>
          <w:rFonts w:ascii="Times New Roman" w:eastAsia="標楷體" w:hAnsi="Times New Roman"/>
          <w:color w:val="000000"/>
          <w:szCs w:val="24"/>
        </w:rPr>
        <w:t>曾服務於國際一流學術研究機構或國際知名公司任職十年以上，具國際學術聲譽或具掌握達國際領先水準之核心技術，並有領導學術或產業研究團隊之經驗。</w:t>
      </w:r>
    </w:p>
    <w:p w:rsidR="00DF59CB" w:rsidRDefault="004E4B2C">
      <w:pPr>
        <w:pStyle w:val="a5"/>
        <w:numPr>
          <w:ilvl w:val="0"/>
          <w:numId w:val="2"/>
        </w:numPr>
        <w:snapToGrid w:val="0"/>
        <w:spacing w:line="500" w:lineRule="exact"/>
        <w:ind w:left="1135" w:hanging="284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曾獲得諾貝爾獎、國家級研究院院士、國際重要學會會士或相當等級之獎項。</w:t>
      </w:r>
    </w:p>
    <w:p w:rsidR="00DF59CB" w:rsidRDefault="004E4B2C">
      <w:pPr>
        <w:pStyle w:val="a5"/>
        <w:numPr>
          <w:ilvl w:val="0"/>
          <w:numId w:val="2"/>
        </w:numPr>
        <w:snapToGrid w:val="0"/>
        <w:spacing w:line="500" w:lineRule="exact"/>
        <w:ind w:left="1135" w:hanging="284"/>
        <w:jc w:val="both"/>
        <w:rPr>
          <w:color w:val="000000"/>
        </w:rPr>
      </w:pPr>
      <w:r>
        <w:rPr>
          <w:rFonts w:ascii="Times New Roman" w:eastAsia="標楷體" w:hAnsi="Times New Roman"/>
          <w:color w:val="000000"/>
          <w:szCs w:val="24"/>
        </w:rPr>
        <w:t>近五年之學術或產業貢獻於所屬領域表現卓越。</w:t>
      </w:r>
    </w:p>
    <w:p w:rsidR="00DF59CB" w:rsidRDefault="004E4B2C">
      <w:pPr>
        <w:pStyle w:val="a5"/>
        <w:numPr>
          <w:ilvl w:val="0"/>
          <w:numId w:val="25"/>
        </w:numPr>
        <w:spacing w:line="500" w:lineRule="exact"/>
        <w:ind w:left="1276" w:hanging="850"/>
        <w:rPr>
          <w:color w:val="000000"/>
        </w:rPr>
      </w:pPr>
      <w:r>
        <w:rPr>
          <w:rFonts w:ascii="Times New Roman" w:eastAsia="標楷體" w:hAnsi="Times New Roman"/>
          <w:color w:val="000000"/>
          <w:szCs w:val="28"/>
        </w:rPr>
        <w:t>玉山青年學者指取得最高學歷十年以內，並符合下列條件之一者：</w:t>
      </w:r>
    </w:p>
    <w:p w:rsidR="00DF59CB" w:rsidRDefault="004E4B2C">
      <w:pPr>
        <w:pStyle w:val="a5"/>
        <w:numPr>
          <w:ilvl w:val="0"/>
          <w:numId w:val="26"/>
        </w:numPr>
        <w:snapToGrid w:val="0"/>
        <w:spacing w:line="500" w:lineRule="exact"/>
        <w:ind w:left="1135" w:hanging="284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曾服務於國際一流學術研究機構或國際知名公司任職五年以上，並具有發展潛力。</w:t>
      </w:r>
    </w:p>
    <w:p w:rsidR="00DF59CB" w:rsidRDefault="004E4B2C">
      <w:pPr>
        <w:pStyle w:val="a5"/>
        <w:numPr>
          <w:ilvl w:val="0"/>
          <w:numId w:val="16"/>
        </w:numPr>
        <w:snapToGrid w:val="0"/>
        <w:spacing w:line="500" w:lineRule="exact"/>
        <w:ind w:left="1135" w:hanging="284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有執行重大研究計畫之經驗。</w:t>
      </w:r>
    </w:p>
    <w:p w:rsidR="00DF59CB" w:rsidRDefault="004E4B2C">
      <w:pPr>
        <w:pStyle w:val="a5"/>
        <w:numPr>
          <w:ilvl w:val="0"/>
          <w:numId w:val="16"/>
        </w:numPr>
        <w:snapToGrid w:val="0"/>
        <w:spacing w:line="500" w:lineRule="exact"/>
        <w:ind w:left="1135" w:hanging="284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lastRenderedPageBreak/>
        <w:t>近五年之學術貢獻於所屬領域表現優異。</w:t>
      </w:r>
    </w:p>
    <w:p w:rsidR="00DF59CB" w:rsidRDefault="004E4B2C">
      <w:pPr>
        <w:pStyle w:val="a5"/>
        <w:suppressAutoHyphens/>
        <w:spacing w:line="500" w:lineRule="exact"/>
        <w:ind w:left="567" w:firstLine="567"/>
        <w:rPr>
          <w:color w:val="000000"/>
        </w:rPr>
      </w:pPr>
      <w:r>
        <w:rPr>
          <w:rFonts w:ascii="Times New Roman" w:eastAsia="標楷體" w:hAnsi="Times New Roman"/>
          <w:color w:val="000000"/>
          <w:szCs w:val="28"/>
          <w:lang w:eastAsia="zh-HK"/>
        </w:rPr>
        <w:t>前項玉山學者及玉山青年學者，不得為我國學校及學術研究機構現職專任人員</w:t>
      </w:r>
      <w:r>
        <w:rPr>
          <w:rFonts w:ascii="Times New Roman" w:eastAsia="Times New Roman" w:hAnsi="Times New Roman"/>
          <w:color w:val="000000"/>
          <w:szCs w:val="28"/>
          <w:lang w:eastAsia="zh-HK"/>
        </w:rPr>
        <w:t>(</w:t>
      </w:r>
      <w:r>
        <w:rPr>
          <w:rFonts w:ascii="Times New Roman" w:eastAsia="標楷體" w:hAnsi="Times New Roman"/>
          <w:color w:val="000000"/>
          <w:szCs w:val="28"/>
          <w:lang w:eastAsia="zh-HK"/>
        </w:rPr>
        <w:t>不包括計畫型專案人員</w:t>
      </w:r>
      <w:r>
        <w:rPr>
          <w:rFonts w:ascii="Times New Roman" w:eastAsia="Times New Roman" w:hAnsi="Times New Roman"/>
          <w:color w:val="000000"/>
          <w:szCs w:val="28"/>
          <w:lang w:eastAsia="zh-HK"/>
        </w:rPr>
        <w:t>)</w:t>
      </w:r>
      <w:r>
        <w:rPr>
          <w:rFonts w:ascii="Times New Roman" w:eastAsia="標楷體" w:hAnsi="Times New Roman"/>
          <w:color w:val="000000"/>
          <w:szCs w:val="28"/>
        </w:rPr>
        <w:t>或退休人員</w:t>
      </w:r>
      <w:r>
        <w:rPr>
          <w:rFonts w:ascii="Times New Roman" w:eastAsia="標楷體" w:hAnsi="Times New Roman"/>
          <w:color w:val="000000"/>
          <w:szCs w:val="28"/>
          <w:lang w:eastAsia="zh-HK"/>
        </w:rPr>
        <w:t>；且不得再請領經費來源為教育部（以下簡稱本部）補助經費之彈性薪資。</w:t>
      </w:r>
    </w:p>
    <w:p w:rsidR="00DF59CB" w:rsidRDefault="004E4B2C">
      <w:pPr>
        <w:pStyle w:val="a5"/>
        <w:numPr>
          <w:ilvl w:val="0"/>
          <w:numId w:val="27"/>
        </w:numPr>
        <w:spacing w:line="500" w:lineRule="exact"/>
        <w:ind w:left="567" w:hanging="567"/>
        <w:rPr>
          <w:rFonts w:ascii="Times New Roman" w:eastAsia="標楷體" w:hAnsi="Times New Roman"/>
          <w:color w:val="000000"/>
          <w:szCs w:val="28"/>
        </w:rPr>
      </w:pPr>
      <w:r>
        <w:rPr>
          <w:rFonts w:ascii="Times New Roman" w:eastAsia="標楷體" w:hAnsi="Times New Roman"/>
          <w:color w:val="000000"/>
          <w:szCs w:val="28"/>
        </w:rPr>
        <w:t>補助項目：</w:t>
      </w:r>
    </w:p>
    <w:p w:rsidR="00DF59CB" w:rsidRDefault="004E4B2C">
      <w:pPr>
        <w:pStyle w:val="a5"/>
        <w:numPr>
          <w:ilvl w:val="0"/>
          <w:numId w:val="28"/>
        </w:numPr>
        <w:spacing w:line="500" w:lineRule="exact"/>
        <w:ind w:left="1276" w:hanging="851"/>
        <w:rPr>
          <w:rFonts w:ascii="Times New Roman" w:eastAsia="標楷體" w:hAnsi="Times New Roman"/>
          <w:color w:val="000000"/>
          <w:szCs w:val="28"/>
        </w:rPr>
      </w:pPr>
      <w:r>
        <w:rPr>
          <w:rFonts w:ascii="Times New Roman" w:eastAsia="標楷體" w:hAnsi="Times New Roman"/>
          <w:color w:val="000000"/>
          <w:szCs w:val="28"/>
        </w:rPr>
        <w:t>玉山學者：</w:t>
      </w:r>
    </w:p>
    <w:p w:rsidR="00DF59CB" w:rsidRDefault="004E4B2C">
      <w:pPr>
        <w:pStyle w:val="a5"/>
        <w:numPr>
          <w:ilvl w:val="0"/>
          <w:numId w:val="29"/>
        </w:numPr>
        <w:snapToGrid w:val="0"/>
        <w:spacing w:line="500" w:lineRule="exact"/>
        <w:ind w:left="1135" w:hanging="284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非法定薪資每年至多五百萬元，一次核定三年，若屬短期交流人員，依實際服務時間依比例核給。</w:t>
      </w:r>
    </w:p>
    <w:p w:rsidR="00DF59CB" w:rsidRDefault="004E4B2C">
      <w:pPr>
        <w:pStyle w:val="a5"/>
        <w:numPr>
          <w:ilvl w:val="0"/>
          <w:numId w:val="12"/>
        </w:numPr>
        <w:snapToGrid w:val="0"/>
        <w:spacing w:line="500" w:lineRule="exact"/>
        <w:ind w:left="1135" w:hanging="284"/>
        <w:jc w:val="both"/>
        <w:rPr>
          <w:color w:val="000000"/>
        </w:rPr>
      </w:pPr>
      <w:r>
        <w:rPr>
          <w:rFonts w:ascii="Times New Roman" w:eastAsia="標楷體" w:hAnsi="Times New Roman"/>
          <w:color w:val="000000"/>
          <w:szCs w:val="24"/>
        </w:rPr>
        <w:t>提供每年至多一百五十萬元之行政及業務費，一次核定三年，若屬短期交流人員，依實際服務時間比例核給；前述費用得用於行政助理人事費（包括薪資、勞健保及退休金或離職儲金等）、教學及研究之業務費等，並得支用玉山學者本人每年來回一趟機票款（以專任教師方式聘任之玉山學者最高給付商務艙機票款、以短期交流方式聘任之玉山學者給付經濟艙機票款，並核實報支）。</w:t>
      </w:r>
    </w:p>
    <w:p w:rsidR="00DF59CB" w:rsidRDefault="004E4B2C">
      <w:pPr>
        <w:pStyle w:val="a5"/>
        <w:numPr>
          <w:ilvl w:val="0"/>
          <w:numId w:val="30"/>
        </w:numPr>
        <w:spacing w:line="500" w:lineRule="exact"/>
        <w:ind w:left="1276" w:hanging="851"/>
        <w:rPr>
          <w:rFonts w:ascii="Times New Roman" w:eastAsia="標楷體" w:hAnsi="Times New Roman"/>
          <w:color w:val="000000"/>
          <w:szCs w:val="28"/>
        </w:rPr>
      </w:pPr>
      <w:r>
        <w:rPr>
          <w:rFonts w:ascii="Times New Roman" w:eastAsia="標楷體" w:hAnsi="Times New Roman"/>
          <w:color w:val="000000"/>
          <w:szCs w:val="28"/>
        </w:rPr>
        <w:t>玉山青年學者：</w:t>
      </w:r>
    </w:p>
    <w:p w:rsidR="00DF59CB" w:rsidRDefault="004E4B2C">
      <w:pPr>
        <w:pStyle w:val="a5"/>
        <w:numPr>
          <w:ilvl w:val="0"/>
          <w:numId w:val="31"/>
        </w:numPr>
        <w:spacing w:line="500" w:lineRule="exact"/>
        <w:ind w:left="1135" w:hanging="284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非法定薪資每年至多一百五十萬元，一次核定五年。</w:t>
      </w:r>
    </w:p>
    <w:p w:rsidR="00DF59CB" w:rsidRDefault="004E4B2C">
      <w:pPr>
        <w:pStyle w:val="a5"/>
        <w:numPr>
          <w:ilvl w:val="0"/>
          <w:numId w:val="3"/>
        </w:numPr>
        <w:spacing w:line="500" w:lineRule="exact"/>
        <w:ind w:left="1135" w:hanging="284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提供每年至多一百五十萬元之行政及業務費，一次核定五年；前述費用得用於行政助理人事費（包括薪資、勞健保及退休金</w:t>
      </w:r>
      <w:r>
        <w:rPr>
          <w:rFonts w:ascii="Times New Roman" w:eastAsia="標楷體" w:hAnsi="Times New Roman"/>
          <w:color w:val="000000"/>
          <w:szCs w:val="24"/>
        </w:rPr>
        <w:t>或離職儲金）、教學及研究之業務費等，並得支用玉山青年學者本人每年來回一趟機票款（給付經濟艙機票款，並核實報支）。</w:t>
      </w:r>
    </w:p>
    <w:p w:rsidR="00DF59CB" w:rsidRDefault="004E4B2C">
      <w:pPr>
        <w:pStyle w:val="Standard"/>
        <w:snapToGrid w:val="0"/>
        <w:spacing w:line="500" w:lineRule="exact"/>
        <w:ind w:left="624" w:firstLine="510"/>
        <w:jc w:val="both"/>
        <w:rPr>
          <w:color w:val="000000"/>
        </w:rPr>
      </w:pPr>
      <w:r>
        <w:rPr>
          <w:rFonts w:ascii="Times New Roman" w:eastAsia="標楷體" w:hAnsi="Times New Roman" w:cs="Times New Roman"/>
          <w:color w:val="000000"/>
          <w:sz w:val="28"/>
          <w:szCs w:val="24"/>
        </w:rPr>
        <w:t>前項費用全數為經常門，其餘未規定事項，依教育部補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eastAsia="標楷體" w:hAnsi="Times New Roman" w:cs="Times New Roman"/>
          <w:color w:val="000000"/>
          <w:sz w:val="28"/>
          <w:szCs w:val="24"/>
        </w:rPr>
        <w:t>捐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eastAsia="標楷體" w:hAnsi="Times New Roman" w:cs="Times New Roman"/>
          <w:color w:val="000000"/>
          <w:sz w:val="28"/>
          <w:szCs w:val="24"/>
        </w:rPr>
        <w:t>助及委辦經費核撥結報作業要點及中央政府各項經費支用規定辦理。</w:t>
      </w:r>
    </w:p>
    <w:p w:rsidR="00DF59CB" w:rsidRDefault="004E4B2C">
      <w:pPr>
        <w:pStyle w:val="a5"/>
        <w:numPr>
          <w:ilvl w:val="0"/>
          <w:numId w:val="32"/>
        </w:numPr>
        <w:spacing w:line="500" w:lineRule="exact"/>
        <w:ind w:left="567" w:hanging="567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學校應配合事項：</w:t>
      </w:r>
    </w:p>
    <w:tbl>
      <w:tblPr>
        <w:tblW w:w="8667" w:type="dxa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3407"/>
        <w:gridCol w:w="3564"/>
      </w:tblGrid>
      <w:tr w:rsidR="00DF59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F59CB" w:rsidRDefault="004E4B2C">
            <w:pPr>
              <w:pStyle w:val="a5"/>
              <w:spacing w:line="460" w:lineRule="exact"/>
              <w:ind w:left="0"/>
              <w:rPr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學者類型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配合事項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F59CB" w:rsidRDefault="004E4B2C">
            <w:pPr>
              <w:pStyle w:val="a5"/>
              <w:spacing w:line="46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玉山學者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F59CB" w:rsidRDefault="004E4B2C">
            <w:pPr>
              <w:pStyle w:val="a5"/>
              <w:spacing w:line="460" w:lineRule="exact"/>
              <w:ind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玉山青年學者</w:t>
            </w:r>
          </w:p>
        </w:tc>
      </w:tr>
      <w:tr w:rsidR="00DF59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F59CB" w:rsidRDefault="004E4B2C">
            <w:pPr>
              <w:pStyle w:val="a5"/>
              <w:spacing w:line="46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聘任方式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F59CB" w:rsidRDefault="004E4B2C">
            <w:pPr>
              <w:pStyle w:val="a5"/>
              <w:spacing w:line="46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應符合下列方式之一：</w:t>
            </w:r>
          </w:p>
          <w:p w:rsidR="00DF59CB" w:rsidRDefault="004E4B2C">
            <w:pPr>
              <w:pStyle w:val="a5"/>
              <w:numPr>
                <w:ilvl w:val="0"/>
                <w:numId w:val="33"/>
              </w:numPr>
              <w:spacing w:line="460" w:lineRule="exact"/>
              <w:rPr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編制內專任教師。但聘任時年齡超過六十五歲者，得以編制外專任教師聘任。</w:t>
            </w:r>
          </w:p>
          <w:p w:rsidR="00DF59CB" w:rsidRDefault="004E4B2C">
            <w:pPr>
              <w:pStyle w:val="a5"/>
              <w:numPr>
                <w:ilvl w:val="0"/>
                <w:numId w:val="1"/>
              </w:numPr>
              <w:spacing w:line="460" w:lineRule="exact"/>
              <w:rPr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短期交流教研人員，聘期應至少三年，每年至少在學校服務三個月以上。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F59CB" w:rsidRDefault="004E4B2C">
            <w:pPr>
              <w:pStyle w:val="a5"/>
              <w:spacing w:line="46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編制內專任教師</w:t>
            </w:r>
          </w:p>
        </w:tc>
      </w:tr>
      <w:tr w:rsidR="00DF59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F59CB" w:rsidRDefault="004E4B2C">
            <w:pPr>
              <w:pStyle w:val="a5"/>
              <w:spacing w:line="46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團隊合作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F59CB" w:rsidRDefault="004E4B2C">
            <w:pPr>
              <w:pStyle w:val="a5"/>
              <w:spacing w:line="46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應與校內教研人員共同組成團隊，共同執行教學或研究計畫；團隊成員，應包括校內副教授職級以下成員或博士後研究人員。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F59CB" w:rsidRDefault="004E4B2C">
            <w:pPr>
              <w:pStyle w:val="a5"/>
              <w:spacing w:line="46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無限制</w:t>
            </w:r>
          </w:p>
        </w:tc>
      </w:tr>
      <w:tr w:rsidR="00DF59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F59CB" w:rsidRDefault="004E4B2C">
            <w:pPr>
              <w:pStyle w:val="a5"/>
              <w:spacing w:line="46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法定薪資待遇</w:t>
            </w:r>
          </w:p>
        </w:tc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F59CB" w:rsidRDefault="004E4B2C">
            <w:pPr>
              <w:pStyle w:val="a5"/>
              <w:spacing w:line="460" w:lineRule="exact"/>
              <w:ind w:left="0"/>
              <w:rPr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提供不低於國立大學教師同職級之法定薪資待遇，包括本俸、學術研究加給及主管加給。</w:t>
            </w:r>
          </w:p>
        </w:tc>
      </w:tr>
      <w:tr w:rsidR="00DF59CB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F59CB" w:rsidRDefault="004E4B2C">
            <w:pPr>
              <w:pStyle w:val="a5"/>
              <w:spacing w:line="46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支持性措施</w:t>
            </w:r>
          </w:p>
        </w:tc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F59CB" w:rsidRDefault="004E4B2C">
            <w:pPr>
              <w:pStyle w:val="a5"/>
              <w:spacing w:line="46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提供教學或研究所需經費與設備、行政或教學研究助理人事費、教師與其親屬機票、住宿與搬遷費、子女教育協助事項等；前述措施所需經費，學校得自籌經費及運用其他政府部門補助經費方式籌措；相關支用基準，依學校規定或政府部門補助經費之規定辦理。</w:t>
            </w:r>
          </w:p>
        </w:tc>
      </w:tr>
      <w:tr w:rsidR="00DF59C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F59CB" w:rsidRDefault="004E4B2C">
            <w:pPr>
              <w:pStyle w:val="a5"/>
              <w:spacing w:line="460" w:lineRule="exact"/>
              <w:ind w:left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聘任期限</w:t>
            </w:r>
          </w:p>
        </w:tc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F59CB" w:rsidRDefault="004E4B2C">
            <w:pPr>
              <w:pStyle w:val="a5"/>
              <w:spacing w:line="460" w:lineRule="exact"/>
              <w:ind w:left="0"/>
              <w:rPr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學校應於次一學年度八月一日前完成聘任程序；超過期限者，視為自動放棄。</w:t>
            </w:r>
          </w:p>
        </w:tc>
      </w:tr>
    </w:tbl>
    <w:p w:rsidR="00DF59CB" w:rsidRDefault="004E4B2C">
      <w:pPr>
        <w:pStyle w:val="a5"/>
        <w:numPr>
          <w:ilvl w:val="0"/>
          <w:numId w:val="34"/>
        </w:numPr>
        <w:spacing w:line="500" w:lineRule="exact"/>
        <w:ind w:left="567" w:hanging="567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符合第二點資格之學校，得依預核名額及申請名額之方式，向本部申請經費補助；其申請作業如下：</w:t>
      </w:r>
    </w:p>
    <w:p w:rsidR="00DF59CB" w:rsidRDefault="004E4B2C">
      <w:pPr>
        <w:pStyle w:val="a5"/>
        <w:numPr>
          <w:ilvl w:val="0"/>
          <w:numId w:val="35"/>
        </w:numPr>
        <w:spacing w:line="500" w:lineRule="exact"/>
        <w:ind w:left="1276" w:hanging="851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lastRenderedPageBreak/>
        <w:t>預核名額：</w:t>
      </w:r>
    </w:p>
    <w:p w:rsidR="00DF59CB" w:rsidRDefault="004E4B2C">
      <w:pPr>
        <w:pStyle w:val="Standard"/>
        <w:numPr>
          <w:ilvl w:val="0"/>
          <w:numId w:val="36"/>
        </w:numPr>
        <w:spacing w:line="500" w:lineRule="exact"/>
        <w:ind w:left="1134" w:hanging="284"/>
        <w:rPr>
          <w:color w:val="000000"/>
        </w:rPr>
      </w:pPr>
      <w:r>
        <w:rPr>
          <w:rFonts w:ascii="Times New Roman" w:eastAsia="標楷體" w:hAnsi="Times New Roman" w:cs="Times New Roman"/>
          <w:color w:val="000000"/>
          <w:sz w:val="28"/>
          <w:szCs w:val="24"/>
        </w:rPr>
        <w:t>名額分配方式：依高等教育深耕計畫第二部分研究中心之各領域及經費比重，按級距核給學校單位額度；前述單位額度計算方式，玉山學者為一個單位、玉山青年學者為三分之一個單位；申請計畫經本部審查不通過者，其預核名額之單位額度，將退還學校，並作為下次申請使用。</w:t>
      </w:r>
    </w:p>
    <w:p w:rsidR="00DF59CB" w:rsidRDefault="004E4B2C">
      <w:pPr>
        <w:pStyle w:val="Standard"/>
        <w:numPr>
          <w:ilvl w:val="0"/>
          <w:numId w:val="4"/>
        </w:numPr>
        <w:spacing w:line="500" w:lineRule="exact"/>
        <w:ind w:left="1134" w:hanging="284"/>
        <w:rPr>
          <w:rFonts w:ascii="Times New Roman" w:eastAsia="標楷體" w:hAnsi="Times New Roman" w:cs="Times New Roman"/>
          <w:color w:val="000000"/>
          <w:sz w:val="28"/>
          <w:szCs w:val="24"/>
        </w:rPr>
      </w:pPr>
      <w:r>
        <w:rPr>
          <w:rFonts w:ascii="Times New Roman" w:eastAsia="標楷體" w:hAnsi="Times New Roman" w:cs="Times New Roman"/>
          <w:color w:val="000000"/>
          <w:sz w:val="28"/>
          <w:szCs w:val="24"/>
        </w:rPr>
        <w:t>審查方式：</w:t>
      </w:r>
    </w:p>
    <w:p w:rsidR="00DF59CB" w:rsidRDefault="004E4B2C">
      <w:pPr>
        <w:pStyle w:val="Standard"/>
        <w:numPr>
          <w:ilvl w:val="0"/>
          <w:numId w:val="37"/>
        </w:numPr>
        <w:spacing w:line="500" w:lineRule="exact"/>
        <w:rPr>
          <w:color w:val="000000"/>
        </w:rPr>
      </w:pPr>
      <w:r>
        <w:rPr>
          <w:rFonts w:ascii="Times New Roman" w:eastAsia="標楷體" w:hAnsi="Times New Roman" w:cs="Times New Roman"/>
          <w:color w:val="000000"/>
          <w:sz w:val="28"/>
          <w:szCs w:val="24"/>
        </w:rPr>
        <w:t>計畫採隨到隨審。</w:t>
      </w:r>
    </w:p>
    <w:p w:rsidR="00DF59CB" w:rsidRDefault="004E4B2C">
      <w:pPr>
        <w:pStyle w:val="Standard"/>
        <w:numPr>
          <w:ilvl w:val="0"/>
          <w:numId w:val="9"/>
        </w:numPr>
        <w:spacing w:line="500" w:lineRule="exact"/>
        <w:rPr>
          <w:rFonts w:ascii="Times New Roman" w:eastAsia="標楷體" w:hAnsi="Times New Roman" w:cs="Times New Roman"/>
          <w:color w:val="000000"/>
          <w:sz w:val="28"/>
          <w:szCs w:val="24"/>
        </w:rPr>
      </w:pPr>
      <w:r>
        <w:rPr>
          <w:rFonts w:ascii="Times New Roman" w:eastAsia="標楷體" w:hAnsi="Times New Roman" w:cs="Times New Roman"/>
          <w:color w:val="000000"/>
          <w:sz w:val="28"/>
          <w:szCs w:val="24"/>
        </w:rPr>
        <w:t>設置審查委員會，並依領域設人文藝術、社會科學、理學、醫學、工學、生命科學及農學六類科，並置各類科召集人，由該各類科召集人推薦學者專家匿名審查。</w:t>
      </w:r>
    </w:p>
    <w:p w:rsidR="00DF59CB" w:rsidRDefault="004E4B2C">
      <w:pPr>
        <w:pStyle w:val="a5"/>
        <w:numPr>
          <w:ilvl w:val="0"/>
          <w:numId w:val="38"/>
        </w:numPr>
        <w:spacing w:line="500" w:lineRule="exact"/>
        <w:ind w:left="1276" w:hanging="851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申請名額：</w:t>
      </w:r>
    </w:p>
    <w:p w:rsidR="00DF59CB" w:rsidRDefault="004E4B2C">
      <w:pPr>
        <w:pStyle w:val="Standard"/>
        <w:numPr>
          <w:ilvl w:val="0"/>
          <w:numId w:val="39"/>
        </w:numPr>
        <w:spacing w:line="500" w:lineRule="exact"/>
        <w:ind w:left="1134" w:hanging="284"/>
        <w:rPr>
          <w:color w:val="000000"/>
        </w:rPr>
      </w:pPr>
      <w:r>
        <w:rPr>
          <w:rFonts w:ascii="Times New Roman" w:eastAsia="標楷體" w:hAnsi="Times New Roman" w:cs="Times New Roman"/>
          <w:color w:val="000000"/>
          <w:sz w:val="28"/>
          <w:szCs w:val="24"/>
        </w:rPr>
        <w:t>名額分配方式：依高教深耕第一部分（落實教學創新、發展學校特色及提升高教公共性）經費，按級距核給學校申請單位額度；前述單位額度計算方式，玉山學者為一個單位、玉山青年學者為三分之一個單位；申請計畫經本部審查不通過者，其申請名額之單位額度，將不退還學校。</w:t>
      </w:r>
    </w:p>
    <w:p w:rsidR="00DF59CB" w:rsidRDefault="004E4B2C">
      <w:pPr>
        <w:pStyle w:val="Standard"/>
        <w:numPr>
          <w:ilvl w:val="0"/>
          <w:numId w:val="5"/>
        </w:numPr>
        <w:spacing w:line="500" w:lineRule="exact"/>
        <w:ind w:left="1134" w:hanging="284"/>
        <w:rPr>
          <w:rFonts w:ascii="Times New Roman" w:eastAsia="標楷體" w:hAnsi="Times New Roman" w:cs="Times New Roman"/>
          <w:color w:val="000000"/>
          <w:sz w:val="28"/>
          <w:szCs w:val="24"/>
        </w:rPr>
      </w:pPr>
      <w:r>
        <w:rPr>
          <w:rFonts w:ascii="Times New Roman" w:eastAsia="標楷體" w:hAnsi="Times New Roman" w:cs="Times New Roman"/>
          <w:color w:val="000000"/>
          <w:sz w:val="28"/>
          <w:szCs w:val="24"/>
        </w:rPr>
        <w:t>審查方式：</w:t>
      </w:r>
    </w:p>
    <w:p w:rsidR="00DF59CB" w:rsidRDefault="004E4B2C">
      <w:pPr>
        <w:pStyle w:val="Standard"/>
        <w:numPr>
          <w:ilvl w:val="0"/>
          <w:numId w:val="40"/>
        </w:numPr>
        <w:spacing w:line="500" w:lineRule="exact"/>
        <w:rPr>
          <w:color w:val="000000"/>
        </w:rPr>
      </w:pPr>
      <w:r>
        <w:rPr>
          <w:rFonts w:ascii="Times New Roman" w:eastAsia="標楷體" w:hAnsi="Times New Roman" w:cs="Times New Roman"/>
          <w:color w:val="000000"/>
          <w:sz w:val="28"/>
          <w:szCs w:val="24"/>
        </w:rPr>
        <w:t>計畫採隨到隨審。</w:t>
      </w:r>
    </w:p>
    <w:p w:rsidR="00DF59CB" w:rsidRDefault="004E4B2C">
      <w:pPr>
        <w:pStyle w:val="Standard"/>
        <w:numPr>
          <w:ilvl w:val="0"/>
          <w:numId w:val="11"/>
        </w:numPr>
        <w:spacing w:line="500" w:lineRule="exact"/>
        <w:rPr>
          <w:rFonts w:ascii="Times New Roman" w:eastAsia="標楷體" w:hAnsi="Times New Roman" w:cs="Times New Roman"/>
          <w:color w:val="000000"/>
          <w:sz w:val="28"/>
          <w:szCs w:val="24"/>
        </w:rPr>
      </w:pPr>
      <w:r>
        <w:rPr>
          <w:rFonts w:ascii="Times New Roman" w:eastAsia="標楷體" w:hAnsi="Times New Roman" w:cs="Times New Roman"/>
          <w:color w:val="000000"/>
          <w:sz w:val="28"/>
          <w:szCs w:val="24"/>
        </w:rPr>
        <w:t>設置審查委員會，並依領域設人文藝術、社會科學、理學、醫學、工學、生命科學及農</w:t>
      </w:r>
      <w:r>
        <w:rPr>
          <w:rFonts w:ascii="Times New Roman" w:eastAsia="標楷體" w:hAnsi="Times New Roman" w:cs="Times New Roman"/>
          <w:color w:val="000000"/>
          <w:sz w:val="28"/>
          <w:szCs w:val="24"/>
        </w:rPr>
        <w:t>學六類科，並置各類科召集人，由該各類科召集人推薦學者專家匿名審查。</w:t>
      </w:r>
    </w:p>
    <w:p w:rsidR="00DF59CB" w:rsidRDefault="004E4B2C">
      <w:pPr>
        <w:pStyle w:val="a5"/>
        <w:numPr>
          <w:ilvl w:val="0"/>
          <w:numId w:val="41"/>
        </w:numPr>
        <w:spacing w:line="500" w:lineRule="exact"/>
        <w:ind w:left="1276" w:hanging="851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審查重點：</w:t>
      </w:r>
    </w:p>
    <w:p w:rsidR="00DF59CB" w:rsidRDefault="004E4B2C">
      <w:pPr>
        <w:pStyle w:val="Standard"/>
        <w:numPr>
          <w:ilvl w:val="0"/>
          <w:numId w:val="42"/>
        </w:numPr>
        <w:spacing w:line="500" w:lineRule="exact"/>
        <w:ind w:left="1135" w:hanging="284"/>
        <w:rPr>
          <w:color w:val="000000"/>
        </w:rPr>
      </w:pPr>
      <w:r>
        <w:rPr>
          <w:rFonts w:ascii="Times New Roman" w:eastAsia="標楷體" w:hAnsi="Times New Roman" w:cs="Times New Roman"/>
          <w:color w:val="000000"/>
          <w:sz w:val="28"/>
          <w:szCs w:val="24"/>
        </w:rPr>
        <w:t>延攬人選過去經歷表現（學術之重要貢獻、曾獲得之學術獎勵情形、重要之學術研究成果、個人履歷及著作清單等）。</w:t>
      </w:r>
    </w:p>
    <w:p w:rsidR="00DF59CB" w:rsidRDefault="004E4B2C">
      <w:pPr>
        <w:pStyle w:val="Standard"/>
        <w:numPr>
          <w:ilvl w:val="0"/>
          <w:numId w:val="14"/>
        </w:numPr>
        <w:spacing w:line="500" w:lineRule="exact"/>
        <w:ind w:left="1135" w:hanging="284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延攬人選未來研究主題與校務發展之連結及預期效益：</w:t>
      </w:r>
    </w:p>
    <w:p w:rsidR="00DF59CB" w:rsidRDefault="004E4B2C">
      <w:pPr>
        <w:pStyle w:val="Standard"/>
        <w:numPr>
          <w:ilvl w:val="0"/>
          <w:numId w:val="43"/>
        </w:numPr>
        <w:spacing w:line="500" w:lineRule="exact"/>
        <w:ind w:left="1843" w:hanging="855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學者研究規劃及目標。</w:t>
      </w:r>
    </w:p>
    <w:p w:rsidR="00DF59CB" w:rsidRDefault="004E4B2C">
      <w:pPr>
        <w:pStyle w:val="Standard"/>
        <w:numPr>
          <w:ilvl w:val="0"/>
          <w:numId w:val="13"/>
        </w:numPr>
        <w:spacing w:line="500" w:lineRule="exact"/>
        <w:ind w:left="1843" w:hanging="855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lastRenderedPageBreak/>
        <w:t>學者研究主題內容及其與學校校務發展關聯性。</w:t>
      </w:r>
    </w:p>
    <w:p w:rsidR="00DF59CB" w:rsidRDefault="004E4B2C">
      <w:pPr>
        <w:pStyle w:val="Standard"/>
        <w:numPr>
          <w:ilvl w:val="0"/>
          <w:numId w:val="13"/>
        </w:numPr>
        <w:spacing w:line="500" w:lineRule="exact"/>
        <w:ind w:left="1843" w:hanging="855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研究工作之具體作法。</w:t>
      </w:r>
    </w:p>
    <w:p w:rsidR="00DF59CB" w:rsidRDefault="004E4B2C">
      <w:pPr>
        <w:pStyle w:val="Standard"/>
        <w:numPr>
          <w:ilvl w:val="0"/>
          <w:numId w:val="13"/>
        </w:numPr>
        <w:spacing w:line="500" w:lineRule="exact"/>
        <w:ind w:left="1843" w:hanging="855"/>
        <w:rPr>
          <w:color w:val="000000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預期成效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預計可達到量化或質化之具體成果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DF59CB" w:rsidRDefault="004E4B2C">
      <w:pPr>
        <w:pStyle w:val="Standard"/>
        <w:numPr>
          <w:ilvl w:val="0"/>
          <w:numId w:val="44"/>
        </w:numPr>
        <w:spacing w:line="500" w:lineRule="exact"/>
        <w:ind w:left="1135" w:hanging="284"/>
        <w:rPr>
          <w:color w:val="000000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學校提供配套措施及條件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例如研究經費與設備、研究助理人事費、住宿與搬遷費、子女教育協助事項等；前開措施所需經費，學校可自籌經費及運用政府部門補助經費方式籌措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如有與企業合作</w:t>
      </w:r>
      <w:r>
        <w:rPr>
          <w:rFonts w:ascii="標楷體" w:eastAsia="標楷體" w:hAnsi="標楷體" w:cs="+mn-cs"/>
          <w:color w:val="000000"/>
          <w:sz w:val="28"/>
          <w:szCs w:val="28"/>
        </w:rPr>
        <w:t>提供實驗設備、共組研發團隊或挹注經費等相關配套措施，亦請特別敘明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DF59CB" w:rsidRDefault="004E4B2C">
      <w:pPr>
        <w:pStyle w:val="Standard"/>
        <w:numPr>
          <w:ilvl w:val="0"/>
          <w:numId w:val="14"/>
        </w:numPr>
        <w:spacing w:line="500" w:lineRule="exact"/>
        <w:ind w:left="1135" w:hanging="284"/>
        <w:rPr>
          <w:color w:val="000000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提供待遇之合理性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例如學校申請本部補助非法定薪資待遇額度之評估方式、申請補助行政及業務費額度及用途；並請學校一併說明提供法定薪資狀況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DF59CB" w:rsidRDefault="004E4B2C">
      <w:pPr>
        <w:pStyle w:val="Standard"/>
        <w:numPr>
          <w:ilvl w:val="0"/>
          <w:numId w:val="14"/>
        </w:numPr>
        <w:spacing w:line="500" w:lineRule="exact"/>
        <w:ind w:left="1135" w:hanging="284"/>
        <w:rPr>
          <w:color w:val="000000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團隊合作建立規劃情形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聘請對象若為玉山學者，應與校內教研人員共同組成團隊，團隊成員應包括校內副教授職級以下成員或博士後研究人員；若為玉山青年學者，無需填寫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:rsidR="00DF59CB" w:rsidRDefault="004E4B2C">
      <w:pPr>
        <w:pStyle w:val="a5"/>
        <w:numPr>
          <w:ilvl w:val="0"/>
          <w:numId w:val="45"/>
        </w:numPr>
        <w:spacing w:line="500" w:lineRule="exact"/>
        <w:ind w:left="1276" w:hanging="851"/>
        <w:rPr>
          <w:color w:val="000000"/>
        </w:rPr>
      </w:pPr>
      <w:r>
        <w:rPr>
          <w:rFonts w:ascii="Times New Roman" w:eastAsia="標楷體" w:hAnsi="Times New Roman"/>
          <w:color w:val="000000"/>
          <w:szCs w:val="24"/>
        </w:rPr>
        <w:t>審查通過標準：玉山學者之學術能量應至少達到本部「學術獎」學術標準、玉山青年學者應達到或具有獲科技部「吳大猷先生紀念獎」學術標準或潛力</w:t>
      </w:r>
      <w:r>
        <w:rPr>
          <w:rFonts w:ascii="Times New Roman" w:eastAsia="標楷體" w:hAnsi="Times New Roman"/>
          <w:color w:val="000000"/>
          <w:szCs w:val="28"/>
        </w:rPr>
        <w:t>；玉山學者如為具產業研發重要貢獻者，應至少達到本部「國家產學大師獎」之基準。</w:t>
      </w:r>
    </w:p>
    <w:p w:rsidR="00DF59CB" w:rsidRDefault="004E4B2C">
      <w:pPr>
        <w:pStyle w:val="a5"/>
        <w:numPr>
          <w:ilvl w:val="0"/>
          <w:numId w:val="46"/>
        </w:numPr>
        <w:spacing w:line="500" w:lineRule="exact"/>
        <w:ind w:left="567" w:hanging="567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計畫執行考核：</w:t>
      </w:r>
    </w:p>
    <w:p w:rsidR="00DF59CB" w:rsidRDefault="004E4B2C">
      <w:pPr>
        <w:pStyle w:val="a5"/>
        <w:numPr>
          <w:ilvl w:val="0"/>
          <w:numId w:val="47"/>
        </w:numPr>
        <w:spacing w:line="500" w:lineRule="exact"/>
        <w:ind w:left="1276" w:hanging="851"/>
        <w:rPr>
          <w:color w:val="000000"/>
        </w:rPr>
      </w:pPr>
      <w:r>
        <w:rPr>
          <w:rFonts w:ascii="Times New Roman" w:eastAsia="標楷體" w:hAnsi="Times New Roman"/>
          <w:color w:val="000000"/>
          <w:szCs w:val="28"/>
        </w:rPr>
        <w:t>玉山學者以三年為一期、玉山青年學者以五年為一期核定補助經費，學校應達成具體成果及質量化績效，並作為本部下期經費核定之參考依據；另每年應繳交該年度之績效報告。</w:t>
      </w:r>
    </w:p>
    <w:p w:rsidR="00DF59CB" w:rsidRDefault="004E4B2C">
      <w:pPr>
        <w:pStyle w:val="a5"/>
        <w:numPr>
          <w:ilvl w:val="0"/>
          <w:numId w:val="17"/>
        </w:numPr>
        <w:spacing w:line="500" w:lineRule="exact"/>
        <w:ind w:left="1276" w:hanging="851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學校應於玉山學者及玉山青年學者聘期屆滿前八個月函報成果報告，由本部送請專家學者匿名審查後，於聘期屆滿六個月前核定。</w:t>
      </w:r>
    </w:p>
    <w:p w:rsidR="00DF59CB" w:rsidRDefault="004E4B2C">
      <w:pPr>
        <w:pStyle w:val="a5"/>
        <w:numPr>
          <w:ilvl w:val="0"/>
          <w:numId w:val="48"/>
        </w:numPr>
        <w:spacing w:line="500" w:lineRule="exact"/>
        <w:ind w:left="567" w:hanging="567"/>
        <w:rPr>
          <w:rFonts w:ascii="Times New Roman" w:eastAsia="標楷體" w:hAnsi="Times New Roman"/>
          <w:color w:val="000000"/>
          <w:szCs w:val="28"/>
        </w:rPr>
      </w:pPr>
      <w:r>
        <w:rPr>
          <w:rFonts w:ascii="Times New Roman" w:eastAsia="標楷體" w:hAnsi="Times New Roman"/>
          <w:color w:val="000000"/>
          <w:szCs w:val="28"/>
        </w:rPr>
        <w:t>其他事項：</w:t>
      </w:r>
    </w:p>
    <w:p w:rsidR="00DF59CB" w:rsidRDefault="004E4B2C">
      <w:pPr>
        <w:pStyle w:val="a5"/>
        <w:numPr>
          <w:ilvl w:val="0"/>
          <w:numId w:val="49"/>
        </w:numPr>
        <w:spacing w:line="500" w:lineRule="exact"/>
        <w:ind w:left="1276" w:hanging="851"/>
        <w:rPr>
          <w:rFonts w:ascii="Times New Roman" w:eastAsia="標楷體" w:hAnsi="Times New Roman"/>
          <w:color w:val="000000"/>
          <w:szCs w:val="28"/>
        </w:rPr>
      </w:pPr>
      <w:r>
        <w:rPr>
          <w:rFonts w:ascii="Times New Roman" w:eastAsia="標楷體" w:hAnsi="Times New Roman"/>
          <w:color w:val="000000"/>
          <w:szCs w:val="28"/>
        </w:rPr>
        <w:t>學校依第五點規定應配合事項，得另訂校內規章。</w:t>
      </w:r>
    </w:p>
    <w:p w:rsidR="00DF59CB" w:rsidRDefault="004E4B2C">
      <w:pPr>
        <w:pStyle w:val="a5"/>
        <w:numPr>
          <w:ilvl w:val="0"/>
          <w:numId w:val="10"/>
        </w:numPr>
        <w:spacing w:line="500" w:lineRule="exact"/>
        <w:ind w:left="1276" w:hanging="851"/>
        <w:rPr>
          <w:color w:val="000000"/>
        </w:rPr>
      </w:pPr>
      <w:r>
        <w:rPr>
          <w:rFonts w:ascii="Times New Roman" w:eastAsia="標楷體" w:hAnsi="Times New Roman"/>
          <w:color w:val="000000"/>
          <w:szCs w:val="28"/>
        </w:rPr>
        <w:lastRenderedPageBreak/>
        <w:t>經費撥付、支用及結報，應依本部補</w:t>
      </w:r>
      <w:r>
        <w:rPr>
          <w:rFonts w:ascii="Times New Roman" w:eastAsia="Times New Roman" w:hAnsi="Times New Roman"/>
          <w:color w:val="000000"/>
          <w:szCs w:val="28"/>
        </w:rPr>
        <w:t>(</w:t>
      </w:r>
      <w:r>
        <w:rPr>
          <w:rFonts w:ascii="Times New Roman" w:eastAsia="標楷體" w:hAnsi="Times New Roman"/>
          <w:color w:val="000000"/>
          <w:szCs w:val="28"/>
        </w:rPr>
        <w:t>捐</w:t>
      </w:r>
      <w:r>
        <w:rPr>
          <w:rFonts w:ascii="Times New Roman" w:eastAsia="Times New Roman" w:hAnsi="Times New Roman"/>
          <w:color w:val="000000"/>
          <w:szCs w:val="28"/>
        </w:rPr>
        <w:t>)</w:t>
      </w:r>
      <w:r>
        <w:rPr>
          <w:rFonts w:ascii="Times New Roman" w:eastAsia="標楷體" w:hAnsi="Times New Roman"/>
          <w:color w:val="000000"/>
          <w:szCs w:val="28"/>
        </w:rPr>
        <w:t>助及委辦經費核撥結報作業要點及中央政府各項經費支用規定辦理。</w:t>
      </w:r>
    </w:p>
    <w:p w:rsidR="00DF59CB" w:rsidRDefault="004E4B2C">
      <w:pPr>
        <w:pStyle w:val="a5"/>
        <w:numPr>
          <w:ilvl w:val="0"/>
          <w:numId w:val="10"/>
        </w:numPr>
        <w:spacing w:line="500" w:lineRule="exact"/>
        <w:ind w:left="1276" w:hanging="851"/>
        <w:rPr>
          <w:rFonts w:ascii="Times New Roman" w:eastAsia="標楷體" w:hAnsi="Times New Roman"/>
          <w:color w:val="000000"/>
          <w:szCs w:val="28"/>
        </w:rPr>
      </w:pPr>
      <w:r>
        <w:rPr>
          <w:rFonts w:ascii="Times New Roman" w:eastAsia="標楷體" w:hAnsi="Times New Roman"/>
          <w:color w:val="000000"/>
          <w:szCs w:val="28"/>
        </w:rPr>
        <w:t>玉山學者或玉山青年學者之違反學術倫理案件，應依專科以上學校學術倫理案件處理原則之規定辦理。</w:t>
      </w:r>
    </w:p>
    <w:p w:rsidR="00DF59CB" w:rsidRDefault="004E4B2C">
      <w:pPr>
        <w:pStyle w:val="a5"/>
        <w:numPr>
          <w:ilvl w:val="0"/>
          <w:numId w:val="10"/>
        </w:numPr>
        <w:spacing w:line="500" w:lineRule="exact"/>
        <w:ind w:left="1276" w:hanging="851"/>
        <w:rPr>
          <w:rFonts w:ascii="Times New Roman" w:eastAsia="標楷體" w:hAnsi="Times New Roman"/>
          <w:color w:val="000000"/>
          <w:szCs w:val="28"/>
        </w:rPr>
      </w:pPr>
      <w:r>
        <w:rPr>
          <w:rFonts w:ascii="Times New Roman" w:eastAsia="標楷體" w:hAnsi="Times New Roman"/>
          <w:color w:val="000000"/>
          <w:szCs w:val="28"/>
        </w:rPr>
        <w:t>玉山學者或玉山青年學者於審查通過後至聘任期間，涉性別平等案件或其他違反法令行為者，本部得視其情事停止撥付補助經費。</w:t>
      </w:r>
    </w:p>
    <w:sectPr w:rsidR="00DF59CB">
      <w:footerReference w:type="default" r:id="rId8"/>
      <w:pgSz w:w="11906" w:h="16838"/>
      <w:pgMar w:top="1418" w:right="1418" w:bottom="1843" w:left="1701" w:header="720" w:footer="14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2C" w:rsidRDefault="004E4B2C">
      <w:pPr>
        <w:rPr>
          <w:rFonts w:hint="eastAsia"/>
        </w:rPr>
      </w:pPr>
      <w:r>
        <w:separator/>
      </w:r>
    </w:p>
  </w:endnote>
  <w:endnote w:type="continuationSeparator" w:id="0">
    <w:p w:rsidR="004E4B2C" w:rsidRDefault="004E4B2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, PMingLiU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, 'Liberation Mono'">
    <w:charset w:val="00"/>
    <w:family w:val="roman"/>
    <w:pitch w:val="variable"/>
  </w:font>
  <w:font w:name="Calibri Light"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cs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71" w:rsidRDefault="004E4B2C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6F2CB6">
      <w:rPr>
        <w:noProof/>
      </w:rPr>
      <w:t>2</w:t>
    </w:r>
    <w:r>
      <w:fldChar w:fldCharType="end"/>
    </w:r>
  </w:p>
  <w:p w:rsidR="003B6771" w:rsidRDefault="004E4B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2C" w:rsidRDefault="004E4B2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E4B2C" w:rsidRDefault="004E4B2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597"/>
    <w:multiLevelType w:val="multilevel"/>
    <w:tmpl w:val="EB48DBC2"/>
    <w:styleLink w:val="WW8Num9"/>
    <w:lvl w:ilvl="0">
      <w:start w:val="1"/>
      <w:numFmt w:val="decimal"/>
      <w:lvlText w:val="（%1）"/>
      <w:lvlJc w:val="left"/>
      <w:rPr>
        <w:rFonts w:ascii="Times New Roman" w:eastAsia="標楷體" w:hAnsi="Times New Roman" w:cs="Times New Roman"/>
        <w:sz w:val="24"/>
        <w:szCs w:val="24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FA5663D"/>
    <w:multiLevelType w:val="multilevel"/>
    <w:tmpl w:val="EE223F0A"/>
    <w:styleLink w:val="WW8Num10"/>
    <w:lvl w:ilvl="0">
      <w:start w:val="1"/>
      <w:numFmt w:val="japaneseCounting"/>
      <w:lvlText w:val="（%1）"/>
      <w:lvlJc w:val="left"/>
      <w:rPr>
        <w:rFonts w:ascii="Times New Roman" w:eastAsia="標楷體" w:hAnsi="Times New Roman" w:cs="Times New Roman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54A7B4D"/>
    <w:multiLevelType w:val="multilevel"/>
    <w:tmpl w:val="F2C4E880"/>
    <w:styleLink w:val="WW8Num1"/>
    <w:lvl w:ilvl="0">
      <w:start w:val="1"/>
      <w:numFmt w:val="decimal"/>
      <w:lvlText w:val="%1."/>
      <w:lvlJc w:val="left"/>
      <w:rPr>
        <w:rFonts w:ascii="Times New Roman" w:eastAsia="標楷體" w:hAnsi="Times New Roman" w:cs="Times New Roman"/>
        <w:sz w:val="28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80A6E12"/>
    <w:multiLevelType w:val="multilevel"/>
    <w:tmpl w:val="070479EC"/>
    <w:styleLink w:val="WW8Num18"/>
    <w:lvl w:ilvl="0">
      <w:start w:val="1"/>
      <w:numFmt w:val="japaneseCounting"/>
      <w:lvlText w:val="（%1）"/>
      <w:lvlJc w:val="left"/>
      <w:rPr>
        <w:rFonts w:ascii="Times New Roman" w:eastAsia="標楷體" w:hAnsi="Times New Roman" w:cs="Times New Roman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852248F"/>
    <w:multiLevelType w:val="multilevel"/>
    <w:tmpl w:val="51CED65A"/>
    <w:styleLink w:val="WW8Num14"/>
    <w:lvl w:ilvl="0">
      <w:start w:val="1"/>
      <w:numFmt w:val="decimal"/>
      <w:lvlText w:val="%1."/>
      <w:lvlJc w:val="left"/>
      <w:rPr>
        <w:rFonts w:ascii="Times New Roman" w:eastAsia="標楷體" w:hAnsi="Times New Roman" w:cs="Times New Roman"/>
        <w:strike w:val="0"/>
        <w:dstrike w:val="0"/>
        <w:color w:val="000000"/>
        <w:kern w:val="3"/>
        <w:sz w:val="28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C6620B1"/>
    <w:multiLevelType w:val="multilevel"/>
    <w:tmpl w:val="C6483C3C"/>
    <w:styleLink w:val="WW8Num2"/>
    <w:lvl w:ilvl="0">
      <w:start w:val="1"/>
      <w:numFmt w:val="decimal"/>
      <w:lvlText w:val="%1."/>
      <w:lvlJc w:val="left"/>
      <w:rPr>
        <w:rFonts w:ascii="Times New Roman" w:eastAsia="標楷體" w:hAnsi="Times New Roman" w:cs="Times New Roman"/>
        <w:sz w:val="28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586365A"/>
    <w:multiLevelType w:val="multilevel"/>
    <w:tmpl w:val="AE22BC6C"/>
    <w:styleLink w:val="WW8Num8"/>
    <w:lvl w:ilvl="0">
      <w:start w:val="1"/>
      <w:numFmt w:val="japaneseCounting"/>
      <w:lvlText w:val="（%1）"/>
      <w:lvlJc w:val="left"/>
      <w:rPr>
        <w:sz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B1209E0"/>
    <w:multiLevelType w:val="multilevel"/>
    <w:tmpl w:val="28824D32"/>
    <w:styleLink w:val="WW8Num3"/>
    <w:lvl w:ilvl="0">
      <w:start w:val="1"/>
      <w:numFmt w:val="decimal"/>
      <w:lvlText w:val="%1."/>
      <w:lvlJc w:val="left"/>
      <w:rPr>
        <w:sz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32436E52"/>
    <w:multiLevelType w:val="multilevel"/>
    <w:tmpl w:val="1D222C32"/>
    <w:styleLink w:val="WW8Num5"/>
    <w:lvl w:ilvl="0">
      <w:start w:val="1"/>
      <w:numFmt w:val="decimal"/>
      <w:lvlText w:val="%1."/>
      <w:lvlJc w:val="left"/>
      <w:rPr>
        <w:rFonts w:ascii="Times New Roman" w:eastAsia="標楷體" w:hAnsi="Times New Roman" w:cs="Times New Roman"/>
        <w:strike w:val="0"/>
        <w:dstrike w:val="0"/>
        <w:kern w:val="3"/>
        <w:sz w:val="28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34310022"/>
    <w:multiLevelType w:val="multilevel"/>
    <w:tmpl w:val="85466330"/>
    <w:styleLink w:val="WW8Num12"/>
    <w:lvl w:ilvl="0">
      <w:start w:val="1"/>
      <w:numFmt w:val="decimal"/>
      <w:lvlText w:val="%1."/>
      <w:lvlJc w:val="left"/>
      <w:rPr>
        <w:rFonts w:ascii="Times New Roman" w:eastAsia="標楷體" w:hAnsi="Times New Roman" w:cs="Times New Roman"/>
        <w:sz w:val="28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395E06E1"/>
    <w:multiLevelType w:val="multilevel"/>
    <w:tmpl w:val="4B4E4450"/>
    <w:styleLink w:val="WW8Num17"/>
    <w:lvl w:ilvl="0">
      <w:start w:val="1"/>
      <w:numFmt w:val="japaneseCounting"/>
      <w:lvlText w:val="（%1）"/>
      <w:lvlJc w:val="left"/>
      <w:rPr>
        <w:rFonts w:ascii="Times New Roman" w:eastAsia="標楷體" w:hAnsi="Times New Roman" w:cs="Times New Roman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6D2230F"/>
    <w:multiLevelType w:val="multilevel"/>
    <w:tmpl w:val="7C72C588"/>
    <w:styleLink w:val="WW8Num16"/>
    <w:lvl w:ilvl="0">
      <w:start w:val="1"/>
      <w:numFmt w:val="decimal"/>
      <w:lvlText w:val="%1."/>
      <w:lvlJc w:val="left"/>
      <w:rPr>
        <w:sz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4FF07B83"/>
    <w:multiLevelType w:val="multilevel"/>
    <w:tmpl w:val="31340676"/>
    <w:styleLink w:val="WW8Num13"/>
    <w:lvl w:ilvl="0">
      <w:start w:val="1"/>
      <w:numFmt w:val="decimal"/>
      <w:lvlText w:val="（%1）"/>
      <w:lvlJc w:val="left"/>
      <w:rPr>
        <w:rFonts w:ascii="Times New Roman" w:eastAsia="標楷體" w:hAnsi="Times New Roman" w:cs="Times New Roman"/>
        <w:color w:val="000000"/>
        <w:kern w:val="3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6D94DB0"/>
    <w:multiLevelType w:val="multilevel"/>
    <w:tmpl w:val="40F0A1AA"/>
    <w:styleLink w:val="WW8Num11"/>
    <w:lvl w:ilvl="0">
      <w:start w:val="1"/>
      <w:numFmt w:val="decimal"/>
      <w:lvlText w:val="（%1）"/>
      <w:lvlJc w:val="left"/>
      <w:rPr>
        <w:rFonts w:ascii="Times New Roman" w:eastAsia="標楷體" w:hAnsi="Times New Roman" w:cs="Times New Roman"/>
        <w:sz w:val="24"/>
        <w:szCs w:val="24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A2A280D"/>
    <w:multiLevelType w:val="multilevel"/>
    <w:tmpl w:val="770C6D3E"/>
    <w:styleLink w:val="WW8Num7"/>
    <w:lvl w:ilvl="0">
      <w:start w:val="1"/>
      <w:numFmt w:val="japaneseCounting"/>
      <w:lvlText w:val="（%1）"/>
      <w:lvlJc w:val="left"/>
      <w:rPr>
        <w:rFonts w:ascii="Times New Roman" w:eastAsia="標楷體" w:hAnsi="Times New Roman" w:cs="Times New Roman"/>
        <w:color w:val="000000"/>
        <w:sz w:val="28"/>
        <w:szCs w:val="28"/>
        <w:lang w:eastAsia="zh-HK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6C6A6A33"/>
    <w:multiLevelType w:val="multilevel"/>
    <w:tmpl w:val="FBACB650"/>
    <w:styleLink w:val="WW8Num15"/>
    <w:lvl w:ilvl="0">
      <w:start w:val="1"/>
      <w:numFmt w:val="japaneseCounting"/>
      <w:lvlText w:val="（%1）"/>
      <w:lvlJc w:val="left"/>
      <w:rPr>
        <w:rFonts w:ascii="Times New Roman" w:eastAsia="標楷體" w:hAnsi="Times New Roman" w:cs="Times New Roman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724C0C3C"/>
    <w:multiLevelType w:val="multilevel"/>
    <w:tmpl w:val="3BF48BEA"/>
    <w:styleLink w:val="WW8Num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75F46FB9"/>
    <w:multiLevelType w:val="multilevel"/>
    <w:tmpl w:val="96BE9930"/>
    <w:styleLink w:val="WW8Num4"/>
    <w:lvl w:ilvl="0">
      <w:start w:val="1"/>
      <w:numFmt w:val="decimal"/>
      <w:lvlText w:val="%1."/>
      <w:lvlJc w:val="left"/>
      <w:rPr>
        <w:rFonts w:ascii="Times New Roman" w:eastAsia="標楷體" w:hAnsi="Times New Roman" w:cs="Times New Roman"/>
        <w:sz w:val="28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7CA171B7"/>
    <w:multiLevelType w:val="multilevel"/>
    <w:tmpl w:val="91DAFC54"/>
    <w:styleLink w:val="WW8Num6"/>
    <w:lvl w:ilvl="0">
      <w:start w:val="1"/>
      <w:numFmt w:val="japaneseCounting"/>
      <w:lvlText w:val="%1、"/>
      <w:lvlJc w:val="left"/>
      <w:rPr>
        <w:sz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7"/>
  </w:num>
  <w:num w:numId="5">
    <w:abstractNumId w:val="8"/>
  </w:num>
  <w:num w:numId="6">
    <w:abstractNumId w:val="18"/>
  </w:num>
  <w:num w:numId="7">
    <w:abstractNumId w:val="14"/>
  </w:num>
  <w:num w:numId="8">
    <w:abstractNumId w:val="6"/>
  </w:num>
  <w:num w:numId="9">
    <w:abstractNumId w:val="0"/>
  </w:num>
  <w:num w:numId="10">
    <w:abstractNumId w:val="1"/>
  </w:num>
  <w:num w:numId="11">
    <w:abstractNumId w:val="13"/>
  </w:num>
  <w:num w:numId="12">
    <w:abstractNumId w:val="9"/>
  </w:num>
  <w:num w:numId="13">
    <w:abstractNumId w:val="12"/>
  </w:num>
  <w:num w:numId="14">
    <w:abstractNumId w:val="4"/>
  </w:num>
  <w:num w:numId="15">
    <w:abstractNumId w:val="15"/>
  </w:num>
  <w:num w:numId="16">
    <w:abstractNumId w:val="11"/>
  </w:num>
  <w:num w:numId="17">
    <w:abstractNumId w:val="10"/>
  </w:num>
  <w:num w:numId="18">
    <w:abstractNumId w:val="3"/>
  </w:num>
  <w:num w:numId="19">
    <w:abstractNumId w:val="16"/>
  </w:num>
  <w:num w:numId="20">
    <w:abstractNumId w:val="18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18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8"/>
    <w:lvlOverride w:ilvl="0">
      <w:startOverride w:val="1"/>
    </w:lvlOverride>
  </w:num>
  <w:num w:numId="40">
    <w:abstractNumId w:val="13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12"/>
    <w:lvlOverride w:ilvl="0">
      <w:startOverride w:val="1"/>
    </w:lvlOverride>
  </w:num>
  <w:num w:numId="44">
    <w:abstractNumId w:val="4"/>
    <w:lvlOverride w:ilvl="0">
      <w:startOverride w:val="1"/>
    </w:lvlOverride>
  </w:num>
  <w:num w:numId="45">
    <w:abstractNumId w:val="3"/>
    <w:lvlOverride w:ilvl="0">
      <w:startOverride w:val="1"/>
    </w:lvlOverride>
  </w:num>
  <w:num w:numId="46">
    <w:abstractNumId w:val="18"/>
    <w:lvlOverride w:ilvl="0">
      <w:startOverride w:val="1"/>
    </w:lvlOverride>
  </w:num>
  <w:num w:numId="47">
    <w:abstractNumId w:val="10"/>
    <w:lvlOverride w:ilvl="0">
      <w:startOverride w:val="1"/>
    </w:lvlOverride>
  </w:num>
  <w:num w:numId="48">
    <w:abstractNumId w:val="18"/>
    <w:lvlOverride w:ilvl="0">
      <w:startOverride w:val="1"/>
    </w:lvlOverride>
  </w:num>
  <w:num w:numId="4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F59CB"/>
    <w:rsid w:val="004E4B2C"/>
    <w:rsid w:val="006F2CB6"/>
    <w:rsid w:val="00D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ahoma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, 'Liberation Mono'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, 'Liberation Mono'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, 'Liberation Mono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, 'Liberation Mono'"/>
    </w:rPr>
  </w:style>
  <w:style w:type="paragraph" w:styleId="a5">
    <w:name w:val="List Paragraph"/>
    <w:basedOn w:val="Standard"/>
    <w:pPr>
      <w:suppressAutoHyphens w:val="0"/>
      <w:spacing w:line="400" w:lineRule="exact"/>
      <w:ind w:left="480"/>
    </w:pPr>
    <w:rPr>
      <w:rFonts w:cs="Times New Roman"/>
      <w:sz w:val="2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paragraph" w:styleId="a8">
    <w:name w:val="Balloon Text"/>
    <w:basedOn w:val="Standard"/>
    <w:rPr>
      <w:rFonts w:ascii="Calibri Light" w:hAnsi="Calibri Light" w:cs="Times New Roman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標楷體" w:hAnsi="Times New Roman" w:cs="Times New Roman"/>
      <w:sz w:val="28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標楷體" w:hAnsi="Times New Roman" w:cs="Times New Roman"/>
      <w:sz w:val="28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標楷體" w:hAnsi="Times New Roman" w:cs="Times New Roman"/>
      <w:sz w:val="28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標楷體" w:hAnsi="Times New Roman" w:cs="Times New Roman"/>
      <w:strike w:val="0"/>
      <w:dstrike w:val="0"/>
      <w:kern w:val="3"/>
      <w:sz w:val="28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標楷體" w:hAnsi="Times New Roman" w:cs="Times New Roman"/>
      <w:color w:val="000000"/>
      <w:sz w:val="28"/>
      <w:szCs w:val="28"/>
      <w:lang w:eastAsia="zh-HK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標楷體" w:hAnsi="Times New Roman" w:cs="Times New Roman"/>
      <w:sz w:val="24"/>
      <w:szCs w:val="24"/>
      <w:u w:val="none"/>
    </w:rPr>
  </w:style>
  <w:style w:type="character" w:customStyle="1" w:styleId="WW8Num10z0">
    <w:name w:val="WW8Num10z0"/>
    <w:rPr>
      <w:rFonts w:ascii="Times New Roman" w:eastAsia="標楷體" w:hAnsi="Times New Roman" w:cs="Times New Roman"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標楷體" w:hAnsi="Times New Roman" w:cs="Times New Roman"/>
      <w:sz w:val="24"/>
      <w:szCs w:val="24"/>
      <w:u w:val="none"/>
    </w:rPr>
  </w:style>
  <w:style w:type="character" w:customStyle="1" w:styleId="WW8Num12z0">
    <w:name w:val="WW8Num12z0"/>
    <w:rPr>
      <w:rFonts w:ascii="Times New Roman" w:eastAsia="標楷體" w:hAnsi="Times New Roman" w:cs="Times New Roman"/>
      <w:sz w:val="28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標楷體" w:hAnsi="Times New Roman" w:cs="Times New Roman"/>
      <w:color w:val="000000"/>
      <w:kern w:val="3"/>
      <w:sz w:val="28"/>
      <w:szCs w:val="28"/>
    </w:rPr>
  </w:style>
  <w:style w:type="character" w:customStyle="1" w:styleId="WW8Num14z0">
    <w:name w:val="WW8Num14z0"/>
    <w:rPr>
      <w:rFonts w:ascii="Times New Roman" w:eastAsia="標楷體" w:hAnsi="Times New Roman" w:cs="Times New Roman"/>
      <w:strike w:val="0"/>
      <w:dstrike w:val="0"/>
      <w:color w:val="000000"/>
      <w:kern w:val="3"/>
      <w:sz w:val="28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標楷體" w:hAnsi="Times New Roman" w:cs="Times New Roman"/>
      <w:sz w:val="28"/>
      <w:szCs w:val="2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sz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標楷體" w:hAnsi="Times New Roman" w:cs="Times New Roman"/>
      <w:color w:val="000000"/>
      <w:sz w:val="28"/>
      <w:szCs w:val="2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標楷體" w:hAnsi="Times New Roman" w:cs="Times New Roman"/>
      <w:color w:val="000000"/>
      <w:sz w:val="28"/>
      <w:szCs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標楷體" w:hAnsi="Times New Roman" w:cs="Times New Roman"/>
      <w:sz w:val="28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  <w:strike w:val="0"/>
      <w:dstrike w:val="0"/>
      <w:kern w:val="3"/>
      <w:sz w:val="2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標楷體" w:hAnsi="Times New Roman" w:cs="Times New Roman"/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標楷體" w:eastAsia="標楷體" w:hAnsi="標楷體" w:cs="標楷體"/>
      <w:sz w:val="28"/>
      <w:szCs w:val="28"/>
    </w:rPr>
  </w:style>
  <w:style w:type="character" w:customStyle="1" w:styleId="WW8Num26z1">
    <w:name w:val="WW8Num26z1"/>
    <w:rPr>
      <w:sz w:val="28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sz w:val="28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strike w:val="0"/>
      <w:dstrike w:val="0"/>
      <w:kern w:val="3"/>
      <w:sz w:val="28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標楷體" w:hAnsi="標楷體" w:cs="標楷體"/>
      <w:color w:val="000000"/>
      <w:u w:val="singl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3z0">
    <w:name w:val="WW8Num33z0"/>
    <w:rPr>
      <w:rFonts w:ascii="Times New Roman" w:eastAsia="標楷體" w:hAnsi="Times New Roman" w:cs="Times New Roman"/>
      <w:sz w:val="28"/>
      <w:szCs w:val="28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sz w:val="28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a9">
    <w:name w:val="頁首 字元"/>
    <w:rPr>
      <w:sz w:val="20"/>
      <w:szCs w:val="20"/>
    </w:rPr>
  </w:style>
  <w:style w:type="character" w:customStyle="1" w:styleId="aa">
    <w:name w:val="頁尾 字元"/>
    <w:rPr>
      <w:sz w:val="20"/>
      <w:szCs w:val="20"/>
    </w:rPr>
  </w:style>
  <w:style w:type="character" w:customStyle="1" w:styleId="ab">
    <w:name w:val="註解方塊文字 字元"/>
    <w:rPr>
      <w:rFonts w:ascii="Calibri Light" w:eastAsia="新細明體, PMingLiU" w:hAnsi="Calibri Light" w:cs="Tahoma"/>
      <w:sz w:val="18"/>
      <w:szCs w:val="18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lang w:val="en-US"/>
    </w:rPr>
  </w:style>
  <w:style w:type="character" w:customStyle="1" w:styleId="ListLabel3">
    <w:name w:val="ListLabel 3"/>
    <w:rPr>
      <w:rFonts w:eastAsia="標楷體" w:cs="Times New Roman"/>
    </w:rPr>
  </w:style>
  <w:style w:type="character" w:customStyle="1" w:styleId="ListLabel4">
    <w:name w:val="ListLabel 4"/>
    <w:rPr>
      <w:rFonts w:eastAsia="標楷體" w:cs="Times New Roman"/>
    </w:rPr>
  </w:style>
  <w:style w:type="character" w:customStyle="1" w:styleId="1">
    <w:name w:val="註解方塊文字 字元1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ahoma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, 'Liberation Mono'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, 'Liberation Mono'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, 'Liberation Mono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, 'Liberation Mono'"/>
    </w:rPr>
  </w:style>
  <w:style w:type="paragraph" w:styleId="a5">
    <w:name w:val="List Paragraph"/>
    <w:basedOn w:val="Standard"/>
    <w:pPr>
      <w:suppressAutoHyphens w:val="0"/>
      <w:spacing w:line="400" w:lineRule="exact"/>
      <w:ind w:left="480"/>
    </w:pPr>
    <w:rPr>
      <w:rFonts w:cs="Times New Roman"/>
      <w:sz w:val="2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paragraph" w:styleId="a8">
    <w:name w:val="Balloon Text"/>
    <w:basedOn w:val="Standard"/>
    <w:rPr>
      <w:rFonts w:ascii="Calibri Light" w:hAnsi="Calibri Light" w:cs="Times New Roman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標楷體" w:hAnsi="Times New Roman" w:cs="Times New Roman"/>
      <w:sz w:val="28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標楷體" w:hAnsi="Times New Roman" w:cs="Times New Roman"/>
      <w:sz w:val="28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標楷體" w:hAnsi="Times New Roman" w:cs="Times New Roman"/>
      <w:sz w:val="28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標楷體" w:hAnsi="Times New Roman" w:cs="Times New Roman"/>
      <w:strike w:val="0"/>
      <w:dstrike w:val="0"/>
      <w:kern w:val="3"/>
      <w:sz w:val="28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標楷體" w:hAnsi="Times New Roman" w:cs="Times New Roman"/>
      <w:color w:val="000000"/>
      <w:sz w:val="28"/>
      <w:szCs w:val="28"/>
      <w:lang w:eastAsia="zh-HK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標楷體" w:hAnsi="Times New Roman" w:cs="Times New Roman"/>
      <w:sz w:val="24"/>
      <w:szCs w:val="24"/>
      <w:u w:val="none"/>
    </w:rPr>
  </w:style>
  <w:style w:type="character" w:customStyle="1" w:styleId="WW8Num10z0">
    <w:name w:val="WW8Num10z0"/>
    <w:rPr>
      <w:rFonts w:ascii="Times New Roman" w:eastAsia="標楷體" w:hAnsi="Times New Roman" w:cs="Times New Roman"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標楷體" w:hAnsi="Times New Roman" w:cs="Times New Roman"/>
      <w:sz w:val="24"/>
      <w:szCs w:val="24"/>
      <w:u w:val="none"/>
    </w:rPr>
  </w:style>
  <w:style w:type="character" w:customStyle="1" w:styleId="WW8Num12z0">
    <w:name w:val="WW8Num12z0"/>
    <w:rPr>
      <w:rFonts w:ascii="Times New Roman" w:eastAsia="標楷體" w:hAnsi="Times New Roman" w:cs="Times New Roman"/>
      <w:sz w:val="28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標楷體" w:hAnsi="Times New Roman" w:cs="Times New Roman"/>
      <w:color w:val="000000"/>
      <w:kern w:val="3"/>
      <w:sz w:val="28"/>
      <w:szCs w:val="28"/>
    </w:rPr>
  </w:style>
  <w:style w:type="character" w:customStyle="1" w:styleId="WW8Num14z0">
    <w:name w:val="WW8Num14z0"/>
    <w:rPr>
      <w:rFonts w:ascii="Times New Roman" w:eastAsia="標楷體" w:hAnsi="Times New Roman" w:cs="Times New Roman"/>
      <w:strike w:val="0"/>
      <w:dstrike w:val="0"/>
      <w:color w:val="000000"/>
      <w:kern w:val="3"/>
      <w:sz w:val="28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標楷體" w:hAnsi="Times New Roman" w:cs="Times New Roman"/>
      <w:sz w:val="28"/>
      <w:szCs w:val="2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sz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標楷體" w:hAnsi="Times New Roman" w:cs="Times New Roman"/>
      <w:color w:val="000000"/>
      <w:sz w:val="28"/>
      <w:szCs w:val="2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標楷體" w:hAnsi="Times New Roman" w:cs="Times New Roman"/>
      <w:color w:val="000000"/>
      <w:sz w:val="28"/>
      <w:szCs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標楷體" w:hAnsi="Times New Roman" w:cs="Times New Roman"/>
      <w:sz w:val="28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  <w:strike w:val="0"/>
      <w:dstrike w:val="0"/>
      <w:kern w:val="3"/>
      <w:sz w:val="2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標楷體" w:hAnsi="Times New Roman" w:cs="Times New Roman"/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標楷體" w:eastAsia="標楷體" w:hAnsi="標楷體" w:cs="標楷體"/>
      <w:sz w:val="28"/>
      <w:szCs w:val="28"/>
    </w:rPr>
  </w:style>
  <w:style w:type="character" w:customStyle="1" w:styleId="WW8Num26z1">
    <w:name w:val="WW8Num26z1"/>
    <w:rPr>
      <w:sz w:val="28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sz w:val="28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strike w:val="0"/>
      <w:dstrike w:val="0"/>
      <w:kern w:val="3"/>
      <w:sz w:val="28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標楷體" w:hAnsi="標楷體" w:cs="標楷體"/>
      <w:color w:val="000000"/>
      <w:u w:val="singl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3z0">
    <w:name w:val="WW8Num33z0"/>
    <w:rPr>
      <w:rFonts w:ascii="Times New Roman" w:eastAsia="標楷體" w:hAnsi="Times New Roman" w:cs="Times New Roman"/>
      <w:sz w:val="28"/>
      <w:szCs w:val="28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sz w:val="28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a9">
    <w:name w:val="頁首 字元"/>
    <w:rPr>
      <w:sz w:val="20"/>
      <w:szCs w:val="20"/>
    </w:rPr>
  </w:style>
  <w:style w:type="character" w:customStyle="1" w:styleId="aa">
    <w:name w:val="頁尾 字元"/>
    <w:rPr>
      <w:sz w:val="20"/>
      <w:szCs w:val="20"/>
    </w:rPr>
  </w:style>
  <w:style w:type="character" w:customStyle="1" w:styleId="ab">
    <w:name w:val="註解方塊文字 字元"/>
    <w:rPr>
      <w:rFonts w:ascii="Calibri Light" w:eastAsia="新細明體, PMingLiU" w:hAnsi="Calibri Light" w:cs="Tahoma"/>
      <w:sz w:val="18"/>
      <w:szCs w:val="18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lang w:val="en-US"/>
    </w:rPr>
  </w:style>
  <w:style w:type="character" w:customStyle="1" w:styleId="ListLabel3">
    <w:name w:val="ListLabel 3"/>
    <w:rPr>
      <w:rFonts w:eastAsia="標楷體" w:cs="Times New Roman"/>
    </w:rPr>
  </w:style>
  <w:style w:type="character" w:customStyle="1" w:styleId="ListLabel4">
    <w:name w:val="ListLabel 4"/>
    <w:rPr>
      <w:rFonts w:eastAsia="標楷體" w:cs="Times New Roman"/>
    </w:rPr>
  </w:style>
  <w:style w:type="character" w:customStyle="1" w:styleId="1">
    <w:name w:val="註解方塊文字 字元1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曾新元</dc:creator>
  <cp:lastModifiedBy>TNUA</cp:lastModifiedBy>
  <cp:revision>1</cp:revision>
  <dcterms:created xsi:type="dcterms:W3CDTF">2020-01-07T14:39:00Z</dcterms:created>
  <dcterms:modified xsi:type="dcterms:W3CDTF">2020-02-06T01:30:00Z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